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1B451674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  <w:r w:rsidR="00842C29">
        <w:rPr>
          <w:sz w:val="20"/>
          <w:szCs w:val="20"/>
        </w:rPr>
        <w:t xml:space="preserve"> </w:t>
      </w:r>
      <w:r w:rsidR="003502E7">
        <w:rPr>
          <w:sz w:val="20"/>
          <w:szCs w:val="20"/>
        </w:rPr>
        <w:t xml:space="preserve">PHGNS – </w:t>
      </w:r>
      <w:proofErr w:type="gramStart"/>
      <w:r w:rsidR="003502E7">
        <w:rPr>
          <w:sz w:val="20"/>
          <w:szCs w:val="20"/>
        </w:rPr>
        <w:t xml:space="preserve">SITE </w:t>
      </w:r>
      <w:r w:rsidR="00842C29">
        <w:rPr>
          <w:sz w:val="20"/>
          <w:szCs w:val="20"/>
        </w:rPr>
        <w:t xml:space="preserve"> DE</w:t>
      </w:r>
      <w:proofErr w:type="gramEnd"/>
      <w:r w:rsidR="00842C29">
        <w:rPr>
          <w:sz w:val="20"/>
          <w:szCs w:val="20"/>
        </w:rPr>
        <w:t xml:space="preserve"> BEAUMONT SUR SARTHE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46622290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C3231F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97, rue de l’</w:t>
      </w:r>
      <w:proofErr w:type="spellStart"/>
      <w:r w:rsidR="00C3231F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Airel</w:t>
      </w:r>
      <w:proofErr w:type="spellEnd"/>
      <w:r w:rsidR="00C3231F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72170 Beaumont</w:t>
      </w:r>
      <w:bookmarkStart w:id="1" w:name="_GoBack"/>
      <w:bookmarkEnd w:id="1"/>
      <w:r w:rsidR="00C3231F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sur Sarthe</w:t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29560151"/>
          </w:p>
          <w:p w14:paraId="61B931F4" w14:textId="61BDB831" w:rsidR="007214D5" w:rsidRPr="0077085B" w:rsidRDefault="00C3231F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Superficie = 113 m2</w:t>
            </w:r>
          </w:p>
          <w:p w14:paraId="58348F6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3" w:name="_Hlk187659686"/>
          </w:p>
          <w:p w14:paraId="3200AD41" w14:textId="0C18E206" w:rsidR="007214D5" w:rsidRPr="0077085B" w:rsidRDefault="00C3231F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Superficie = 283 m2</w:t>
            </w:r>
          </w:p>
          <w:p w14:paraId="5F03582D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E5A8DB7" w14:textId="785DBD6E" w:rsidR="007214D5" w:rsidRPr="0077085B" w:rsidRDefault="00B42B38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="Arial"/>
                <w:sz w:val="18"/>
                <w:szCs w:val="18"/>
              </w:rPr>
              <w:t>250  repas</w:t>
            </w:r>
            <w:proofErr w:type="gramEnd"/>
            <w:r>
              <w:rPr>
                <w:rFonts w:ascii="Century Gothic" w:hAnsi="Century Gothic" w:cs="Arial"/>
                <w:sz w:val="18"/>
                <w:szCs w:val="18"/>
              </w:rPr>
              <w:t xml:space="preserve">  par jour </w:t>
            </w: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3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1481C189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C3231F">
        <w:rPr>
          <w:rFonts w:ascii="Century Gothic" w:hAnsi="Century Gothic" w:cs="Arial"/>
          <w:sz w:val="18"/>
          <w:szCs w:val="18"/>
        </w:rPr>
        <w:t xml:space="preserve">554 </w:t>
      </w:r>
      <w:proofErr w:type="spellStart"/>
      <w:r w:rsidR="00C3231F">
        <w:rPr>
          <w:rFonts w:ascii="Century Gothic" w:hAnsi="Century Gothic" w:cs="Arial"/>
          <w:sz w:val="18"/>
          <w:szCs w:val="18"/>
        </w:rPr>
        <w:t>Kw</w:t>
      </w:r>
      <w:proofErr w:type="spellEnd"/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4C1C99F8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 xml:space="preserve">Les chaudières </w:t>
      </w:r>
      <w:proofErr w:type="spellStart"/>
      <w:r w:rsidRPr="0077085B">
        <w:rPr>
          <w:rFonts w:ascii="Century Gothic" w:hAnsi="Century Gothic" w:cs="Arial"/>
          <w:bCs/>
          <w:sz w:val="18"/>
          <w:szCs w:val="18"/>
        </w:rPr>
        <w:t>font-elles</w:t>
      </w:r>
      <w:proofErr w:type="spellEnd"/>
      <w:r w:rsidRPr="0077085B">
        <w:rPr>
          <w:rFonts w:ascii="Century Gothic" w:hAnsi="Century Gothic" w:cs="Arial"/>
          <w:bCs/>
          <w:sz w:val="18"/>
          <w:szCs w:val="18"/>
        </w:rPr>
        <w:t xml:space="preserve">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231F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0C8409C4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C3231F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6F9CE363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3231F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44899D3E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3231F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petit entretien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488838C6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3231F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0BD28AC6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B38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60A1A18C" w:rsidR="006F0F79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</w:p>
        </w:tc>
        <w:tc>
          <w:tcPr>
            <w:tcW w:w="746" w:type="pct"/>
            <w:vAlign w:val="center"/>
          </w:tcPr>
          <w:p w14:paraId="353782E7" w14:textId="190CCF9F" w:rsidR="006F0F79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4000 litres</w:t>
            </w:r>
          </w:p>
        </w:tc>
        <w:tc>
          <w:tcPr>
            <w:tcW w:w="1056" w:type="pct"/>
            <w:vAlign w:val="center"/>
          </w:tcPr>
          <w:p w14:paraId="2DA5A313" w14:textId="1BD0EF4F" w:rsidR="006F0F79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Cuve double </w:t>
            </w: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paroie</w:t>
            </w:r>
            <w:proofErr w:type="spellEnd"/>
          </w:p>
        </w:tc>
        <w:tc>
          <w:tcPr>
            <w:tcW w:w="1641" w:type="pct"/>
          </w:tcPr>
          <w:p w14:paraId="6B885C18" w14:textId="77777777" w:rsidR="00C3231F" w:rsidRDefault="00C3231F" w:rsidP="00C3231F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5A6DBD0" w14:textId="2C1638A8" w:rsidR="006F0F79" w:rsidRDefault="00C3231F" w:rsidP="00C3231F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Local dédié RDJ logistique</w:t>
            </w:r>
          </w:p>
          <w:p w14:paraId="4266A397" w14:textId="36516B87" w:rsidR="00C3231F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570ECB31" w:rsidR="006F0F79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oxygène</w:t>
            </w:r>
          </w:p>
        </w:tc>
        <w:tc>
          <w:tcPr>
            <w:tcW w:w="746" w:type="pct"/>
            <w:vAlign w:val="center"/>
          </w:tcPr>
          <w:p w14:paraId="41C1DCA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3D7324B6" w:rsidR="006F0F79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Casier bouteille type B50</w:t>
            </w:r>
          </w:p>
        </w:tc>
        <w:tc>
          <w:tcPr>
            <w:tcW w:w="1641" w:type="pct"/>
          </w:tcPr>
          <w:p w14:paraId="0A6E2EC6" w14:textId="77777777" w:rsidR="006F0F79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40C06F16" w14:textId="3774CC29" w:rsidR="00C3231F" w:rsidRPr="0077085B" w:rsidRDefault="00C3231F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oxygène en extérieur au RDJ logistique</w:t>
            </w: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02D8E1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1249174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425EFA68" w:rsidR="006F0F79" w:rsidRPr="0077085B" w:rsidRDefault="00CC11BC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6A5E3522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  <w:r w:rsidR="00CC11BC">
        <w:rPr>
          <w:rFonts w:ascii="Century Gothic" w:hAnsi="Century Gothic" w:cs="Arial"/>
          <w:sz w:val="18"/>
          <w:szCs w:val="18"/>
        </w:rPr>
        <w:t>APAVE 1x/an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5E57A8FB" w:rsidR="00F06A66" w:rsidRPr="0077085B" w:rsidRDefault="00CC11B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SPIE + APAVE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74ADA0F9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B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4C6E8671" w:rsidR="00F06A66" w:rsidRPr="0077085B" w:rsidRDefault="00CC11B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SPIE + APAVE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1E27A782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B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30D4A74B" w:rsidR="00F06A66" w:rsidRPr="0077085B" w:rsidRDefault="00CC11B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0B157959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B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154CEDEA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BC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399055E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1B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2616DDA6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7F604D33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3BE2B41B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  <w:r w:rsidR="00CC11BC">
        <w:rPr>
          <w:rFonts w:ascii="Century Gothic" w:hAnsi="Century Gothic" w:cs="Arial"/>
          <w:sz w:val="18"/>
          <w:szCs w:val="18"/>
        </w:rPr>
        <w:t xml:space="preserve"> bassin 150 m3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21A8DCCC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66C9420A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1A412400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631E3872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11B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4DDC206C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B38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74E3E690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CC11BC">
        <w:rPr>
          <w:rFonts w:ascii="Century Gothic" w:hAnsi="Century Gothic" w:cs="Arial"/>
          <w:sz w:val="18"/>
          <w:szCs w:val="18"/>
        </w:rPr>
        <w:t xml:space="preserve">Beaumont sur </w:t>
      </w:r>
      <w:proofErr w:type="spellStart"/>
      <w:r w:rsidR="00CC11BC">
        <w:rPr>
          <w:rFonts w:ascii="Century Gothic" w:hAnsi="Century Gothic" w:cs="Arial"/>
          <w:sz w:val="18"/>
          <w:szCs w:val="18"/>
        </w:rPr>
        <w:t>sarthe</w:t>
      </w:r>
      <w:proofErr w:type="spellEnd"/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68017E2B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B38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B38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77777777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</w:t>
      </w:r>
      <w:proofErr w:type="gramStart"/>
      <w:r w:rsidRPr="0077085B">
        <w:rPr>
          <w:rFonts w:ascii="Century Gothic" w:hAnsi="Century Gothic" w:cs="Arial"/>
          <w:bCs/>
          <w:sz w:val="18"/>
          <w:szCs w:val="18"/>
        </w:rPr>
        <w:t xml:space="preserve"> «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sapeurs</w:t>
      </w:r>
      <w:proofErr w:type="gramEnd"/>
      <w:r w:rsidR="001E4B8B" w:rsidRPr="0077085B">
        <w:rPr>
          <w:rFonts w:ascii="Century Gothic" w:hAnsi="Century Gothic" w:cs="Arial"/>
          <w:bCs/>
          <w:sz w:val="18"/>
          <w:szCs w:val="18"/>
        </w:rPr>
        <w:t>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volontaires»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………………agents.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1AA6B398" w:rsidR="00D61479" w:rsidRPr="0077085B" w:rsidRDefault="00CC11B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serveurs</w:t>
            </w:r>
          </w:p>
        </w:tc>
        <w:tc>
          <w:tcPr>
            <w:tcW w:w="953" w:type="pct"/>
          </w:tcPr>
          <w:p w14:paraId="12AEBAF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1025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7AAAE0AB" w:rsidR="00D61479" w:rsidRPr="0077085B" w:rsidRDefault="00CC11B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autocom</w:t>
            </w:r>
          </w:p>
        </w:tc>
        <w:tc>
          <w:tcPr>
            <w:tcW w:w="953" w:type="pct"/>
          </w:tcPr>
          <w:p w14:paraId="00C16260" w14:textId="188105E1" w:rsidR="00D61479" w:rsidRPr="0077085B" w:rsidRDefault="00CC11B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Aastra</w:t>
            </w:r>
            <w:proofErr w:type="spellEnd"/>
          </w:p>
        </w:tc>
        <w:tc>
          <w:tcPr>
            <w:tcW w:w="573" w:type="pct"/>
          </w:tcPr>
          <w:p w14:paraId="15E7B35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D4DC1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51ED1666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A12D0E7" w14:textId="701ADF15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EE52101" w14:textId="38DF786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314669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1E35C7C6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B279FD1" w14:textId="6872FBE1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A2AD391" w14:textId="0F8124F1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1E34BD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C11BC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5247B1F5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2A09BA95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103DB30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C11BC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0372586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6D7D0509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2382D6F4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C11BC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62C7345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4AA2CE0A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0EA77E3E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C11BC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04430E26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3A6D0AC6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0F2FDE3A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0047FE2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0047FE2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0047FE2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3DB2A34B" w:rsidR="009903C0" w:rsidRPr="0077085B" w:rsidRDefault="00587C1B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Fermeture par clé ou code d’accès</w:t>
            </w: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CC11BC" w:rsidRPr="0077085B" w14:paraId="75713A74" w14:textId="349BD078" w:rsidTr="00FE691C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6D2346BA" w14:textId="372E30FD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Groupe d’eau glacée</w:t>
            </w:r>
          </w:p>
        </w:tc>
        <w:tc>
          <w:tcPr>
            <w:tcW w:w="936" w:type="pct"/>
          </w:tcPr>
          <w:p w14:paraId="7D5D4C6C" w14:textId="021A2990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Carrier</w:t>
            </w:r>
          </w:p>
        </w:tc>
        <w:tc>
          <w:tcPr>
            <w:tcW w:w="591" w:type="pct"/>
          </w:tcPr>
          <w:p w14:paraId="7F49B900" w14:textId="40B93003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4A4B3940" w14:textId="77777777" w:rsidR="00CC11BC" w:rsidRPr="0077085B" w:rsidRDefault="00CC11BC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2E016A7" w14:textId="38D76C81" w:rsidR="00CC11BC" w:rsidRPr="0077085B" w:rsidRDefault="00587C1B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29D1ECAC" w14:textId="2C5F9D8D" w:rsidR="00CC11BC" w:rsidRPr="0077085B" w:rsidRDefault="00587C1B" w:rsidP="00CC11BC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trimestrielle</w:t>
            </w:r>
          </w:p>
        </w:tc>
      </w:tr>
      <w:tr w:rsidR="00587C1B" w:rsidRPr="0077085B" w14:paraId="083AA051" w14:textId="100EA26A" w:rsidTr="009763FC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09995A9E" w14:textId="1B73AD80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de traitement d’air n°1</w:t>
            </w:r>
          </w:p>
        </w:tc>
        <w:tc>
          <w:tcPr>
            <w:tcW w:w="936" w:type="pct"/>
          </w:tcPr>
          <w:p w14:paraId="5B360550" w14:textId="3FD3B9C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Swegon</w:t>
            </w:r>
            <w:proofErr w:type="spellEnd"/>
          </w:p>
        </w:tc>
        <w:tc>
          <w:tcPr>
            <w:tcW w:w="591" w:type="pct"/>
          </w:tcPr>
          <w:p w14:paraId="4276A474" w14:textId="388ADC90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5C8FE08A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16A5E547" w14:textId="77C875DD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755991C8" w14:textId="29BC9B25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semestrielle</w:t>
            </w:r>
          </w:p>
        </w:tc>
      </w:tr>
      <w:tr w:rsidR="00587C1B" w:rsidRPr="0077085B" w14:paraId="248FF3AB" w14:textId="78DE32D2" w:rsidTr="00AA473C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43207692" w14:textId="423C4EEA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de traitement d’air n°2</w:t>
            </w:r>
          </w:p>
        </w:tc>
        <w:tc>
          <w:tcPr>
            <w:tcW w:w="936" w:type="pct"/>
          </w:tcPr>
          <w:p w14:paraId="4F7193C8" w14:textId="1EAC2F3E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Swegon</w:t>
            </w:r>
            <w:proofErr w:type="spellEnd"/>
          </w:p>
        </w:tc>
        <w:tc>
          <w:tcPr>
            <w:tcW w:w="591" w:type="pct"/>
          </w:tcPr>
          <w:p w14:paraId="533F4A34" w14:textId="4E9D14E5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3E0E91F8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5002B235" w14:textId="605EA21C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</w:tcPr>
          <w:p w14:paraId="127B704D" w14:textId="14627A8A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2C01AF">
              <w:rPr>
                <w:rFonts w:ascii="Century Gothic" w:hAnsi="Century Gothic" w:cs="Arial"/>
                <w:sz w:val="16"/>
                <w:szCs w:val="16"/>
              </w:rPr>
              <w:t>semestrielle</w:t>
            </w:r>
          </w:p>
        </w:tc>
      </w:tr>
      <w:tr w:rsidR="00587C1B" w:rsidRPr="0077085B" w14:paraId="43A55A35" w14:textId="524B9AF8" w:rsidTr="00AA473C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75C53817" w14:textId="7B3777F2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de traitement d’air n°3</w:t>
            </w:r>
          </w:p>
        </w:tc>
        <w:tc>
          <w:tcPr>
            <w:tcW w:w="936" w:type="pct"/>
          </w:tcPr>
          <w:p w14:paraId="2A05B7AD" w14:textId="1A016831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Swegon</w:t>
            </w:r>
            <w:proofErr w:type="spellEnd"/>
          </w:p>
        </w:tc>
        <w:tc>
          <w:tcPr>
            <w:tcW w:w="591" w:type="pct"/>
          </w:tcPr>
          <w:p w14:paraId="38644249" w14:textId="4306DB38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794FCD92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058E5F31" w14:textId="297DEBB5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</w:tcPr>
          <w:p w14:paraId="41E685BC" w14:textId="2103CB83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2C01AF">
              <w:rPr>
                <w:rFonts w:ascii="Century Gothic" w:hAnsi="Century Gothic" w:cs="Arial"/>
                <w:sz w:val="16"/>
                <w:szCs w:val="16"/>
              </w:rPr>
              <w:t>semestrielle</w:t>
            </w:r>
          </w:p>
        </w:tc>
      </w:tr>
      <w:tr w:rsidR="00587C1B" w:rsidRPr="0077085B" w14:paraId="6997E738" w14:textId="3ED58CBC" w:rsidTr="00AA473C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5F5EC3DF" w14:textId="7914CEC1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de traitement d’air n°4</w:t>
            </w:r>
          </w:p>
        </w:tc>
        <w:tc>
          <w:tcPr>
            <w:tcW w:w="936" w:type="pct"/>
          </w:tcPr>
          <w:p w14:paraId="518D1F99" w14:textId="2E4CB308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Swegon</w:t>
            </w:r>
            <w:proofErr w:type="spellEnd"/>
          </w:p>
        </w:tc>
        <w:tc>
          <w:tcPr>
            <w:tcW w:w="591" w:type="pct"/>
          </w:tcPr>
          <w:p w14:paraId="2E020567" w14:textId="4F7D098E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1E960B93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7D46C0FE" w14:textId="5EC848EE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</w:tcPr>
          <w:p w14:paraId="1E66D220" w14:textId="29A3301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2C01AF">
              <w:rPr>
                <w:rFonts w:ascii="Century Gothic" w:hAnsi="Century Gothic" w:cs="Arial"/>
                <w:sz w:val="16"/>
                <w:szCs w:val="16"/>
              </w:rPr>
              <w:t>semestrielle</w:t>
            </w:r>
          </w:p>
        </w:tc>
      </w:tr>
      <w:tr w:rsidR="00587C1B" w:rsidRPr="0077085B" w14:paraId="3A190881" w14:textId="025CE4F6" w:rsidTr="00AA473C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0471EC57" w14:textId="0AE469A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Centrale de traitement d’air n°5</w:t>
            </w:r>
          </w:p>
        </w:tc>
        <w:tc>
          <w:tcPr>
            <w:tcW w:w="936" w:type="pct"/>
          </w:tcPr>
          <w:p w14:paraId="21846A9F" w14:textId="77B5CFB5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CIAT</w:t>
            </w:r>
          </w:p>
        </w:tc>
        <w:tc>
          <w:tcPr>
            <w:tcW w:w="591" w:type="pct"/>
          </w:tcPr>
          <w:p w14:paraId="6FFB2542" w14:textId="14EE3AC2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10D14A78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482289E0" w14:textId="44A2CBEB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</w:tcPr>
          <w:p w14:paraId="70103DA0" w14:textId="7478B17A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2C01AF">
              <w:rPr>
                <w:rFonts w:ascii="Century Gothic" w:hAnsi="Century Gothic" w:cs="Arial"/>
                <w:sz w:val="16"/>
                <w:szCs w:val="16"/>
              </w:rPr>
              <w:t>semestrielle</w:t>
            </w:r>
          </w:p>
        </w:tc>
      </w:tr>
      <w:tr w:rsidR="00587C1B" w:rsidRPr="0077085B" w14:paraId="619BCDF5" w14:textId="5FCF26CD" w:rsidTr="009763FC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</w:tcPr>
          <w:p w14:paraId="4BDD18D7" w14:textId="24DD88F1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Groupe électrogène</w:t>
            </w:r>
          </w:p>
        </w:tc>
        <w:tc>
          <w:tcPr>
            <w:tcW w:w="936" w:type="pct"/>
          </w:tcPr>
          <w:p w14:paraId="7C0ECD8A" w14:textId="2F7A4A71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SDMO</w:t>
            </w:r>
          </w:p>
        </w:tc>
        <w:tc>
          <w:tcPr>
            <w:tcW w:w="591" w:type="pct"/>
          </w:tcPr>
          <w:p w14:paraId="5EF01460" w14:textId="12F16141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2005</w:t>
            </w:r>
          </w:p>
        </w:tc>
        <w:tc>
          <w:tcPr>
            <w:tcW w:w="730" w:type="pct"/>
            <w:vAlign w:val="center"/>
          </w:tcPr>
          <w:p w14:paraId="3B4AA0C9" w14:textId="77777777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</w:tcPr>
          <w:p w14:paraId="390706CD" w14:textId="3475E112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537241"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1A0A3D09" w14:textId="77777777" w:rsidR="00587C1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Essais Mensuel</w:t>
            </w:r>
          </w:p>
          <w:p w14:paraId="5D9CC0C3" w14:textId="31BC05DF" w:rsidR="00587C1B" w:rsidRPr="0077085B" w:rsidRDefault="00587C1B" w:rsidP="00587C1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Maintenance semestrielle</w:t>
            </w: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4ED67036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34 Panneaux solaires avec système de production ECS </w:t>
            </w: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instantannée</w:t>
            </w:r>
            <w:proofErr w:type="spellEnd"/>
          </w:p>
        </w:tc>
        <w:tc>
          <w:tcPr>
            <w:tcW w:w="936" w:type="pct"/>
            <w:vAlign w:val="center"/>
          </w:tcPr>
          <w:p w14:paraId="78728C39" w14:textId="6662E622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Clipsol</w:t>
            </w:r>
            <w:proofErr w:type="spellEnd"/>
          </w:p>
        </w:tc>
        <w:tc>
          <w:tcPr>
            <w:tcW w:w="591" w:type="pct"/>
            <w:vAlign w:val="center"/>
          </w:tcPr>
          <w:p w14:paraId="5D7A5094" w14:textId="0664008E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3F2C24EF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1F73539F" w14:textId="46E7DD9F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trimestrielle</w:t>
            </w: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0EA24606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TGBT</w:t>
            </w:r>
          </w:p>
        </w:tc>
        <w:tc>
          <w:tcPr>
            <w:tcW w:w="936" w:type="pct"/>
            <w:vAlign w:val="center"/>
          </w:tcPr>
          <w:p w14:paraId="2B11FA97" w14:textId="69E668ED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Legrand</w:t>
            </w:r>
          </w:p>
        </w:tc>
        <w:tc>
          <w:tcPr>
            <w:tcW w:w="591" w:type="pct"/>
            <w:vAlign w:val="center"/>
          </w:tcPr>
          <w:p w14:paraId="6BC74221" w14:textId="090B11A0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200C12D6" w:rsidR="002B2F89" w:rsidRPr="0077085B" w:rsidRDefault="00587C1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Triennale</w:t>
            </w: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84556" w14:textId="77777777" w:rsidR="00005B4C" w:rsidRDefault="00005B4C">
      <w:r>
        <w:separator/>
      </w:r>
    </w:p>
  </w:endnote>
  <w:endnote w:type="continuationSeparator" w:id="0">
    <w:p w14:paraId="34DE9FAB" w14:textId="77777777" w:rsidR="00005B4C" w:rsidRDefault="0000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2621853A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3502E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3502E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A8F84" w14:textId="77777777" w:rsidR="00005B4C" w:rsidRDefault="00005B4C">
      <w:r>
        <w:separator/>
      </w:r>
    </w:p>
  </w:footnote>
  <w:footnote w:type="continuationSeparator" w:id="0">
    <w:p w14:paraId="131926C8" w14:textId="77777777" w:rsidR="00005B4C" w:rsidRDefault="0000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2B1111" w:rsidRDefault="002B1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C35F28" w:rsidRDefault="007214D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05B4C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31361"/>
    <w:rsid w:val="003502E7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87C1B"/>
    <w:rsid w:val="005D3679"/>
    <w:rsid w:val="006022F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42C29"/>
    <w:rsid w:val="00854EBF"/>
    <w:rsid w:val="00863AAA"/>
    <w:rsid w:val="00895026"/>
    <w:rsid w:val="008D4717"/>
    <w:rsid w:val="008F5D66"/>
    <w:rsid w:val="00900345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42B38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231F"/>
    <w:rsid w:val="00C35F28"/>
    <w:rsid w:val="00C55973"/>
    <w:rsid w:val="00C81292"/>
    <w:rsid w:val="00C8781E"/>
    <w:rsid w:val="00C9773D"/>
    <w:rsid w:val="00CB3C58"/>
    <w:rsid w:val="00CC11BC"/>
    <w:rsid w:val="00CF5720"/>
    <w:rsid w:val="00D574B4"/>
    <w:rsid w:val="00D61479"/>
    <w:rsid w:val="00D672C6"/>
    <w:rsid w:val="00DA633E"/>
    <w:rsid w:val="00DB5678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2E10C373-933A-49D4-9ECC-52D5DFBE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864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GARAUD Gwenaelle</cp:lastModifiedBy>
  <cp:revision>5</cp:revision>
  <dcterms:created xsi:type="dcterms:W3CDTF">2025-02-06T09:09:00Z</dcterms:created>
  <dcterms:modified xsi:type="dcterms:W3CDTF">2025-03-12T08:31:00Z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